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91"/>
        <w:ind w:left="6993" w:right="0" w:firstLine="0"/>
        <w:jc w:val="left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874300</wp:posOffset>
                </wp:positionH>
                <wp:positionV relativeFrom="paragraph">
                  <wp:posOffset>-903274</wp:posOffset>
                </wp:positionV>
                <wp:extent cx="6013450" cy="1159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13450" cy="1159510"/>
                          <a:chExt cx="6013450" cy="11595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029" cy="1124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" y="24765"/>
                            <a:ext cx="6012814" cy="1011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72374" y="911224"/>
                            <a:ext cx="1669414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 h="248285">
                                <a:moveTo>
                                  <a:pt x="1669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284"/>
                                </a:lnTo>
                                <a:lnTo>
                                  <a:pt x="1669415" y="248284"/>
                                </a:lnTo>
                                <a:lnTo>
                                  <a:pt x="166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842575pt;margin-top:-71.124008pt;width:473.5pt;height:91.3pt;mso-position-horizontal-relative:page;mso-position-vertical-relative:paragraph;z-index:-15844352" id="docshapegroup1" coordorigin="1377,-1422" coordsize="9470,1826">
                <v:shape style="position:absolute;left:1376;top:-1423;width:9451;height:1772" type="#_x0000_t75" id="docshape2" stroked="false">
                  <v:imagedata r:id="rId5" o:title=""/>
                </v:shape>
                <v:shape style="position:absolute;left:1377;top:-1384;width:9469;height:1593" type="#_x0000_t75" id="docshape3" stroked="false">
                  <v:imagedata r:id="rId6" o:title=""/>
                </v:shape>
                <v:rect style="position:absolute;left:8105;top:12;width:2629;height:391" id="docshape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color w:val="001F5F"/>
          <w:sz w:val="20"/>
        </w:rPr>
        <w:t>Daniel</w:t>
      </w:r>
      <w:r>
        <w:rPr>
          <w:rFonts w:ascii="Times New Roman"/>
          <w:color w:val="001F5F"/>
          <w:spacing w:val="-5"/>
          <w:sz w:val="20"/>
        </w:rPr>
        <w:t> </w:t>
      </w:r>
      <w:r>
        <w:rPr>
          <w:rFonts w:ascii="Times New Roman"/>
          <w:color w:val="001F5F"/>
          <w:sz w:val="20"/>
        </w:rPr>
        <w:t>J.</w:t>
      </w:r>
      <w:r>
        <w:rPr>
          <w:rFonts w:ascii="Times New Roman"/>
          <w:color w:val="001F5F"/>
          <w:spacing w:val="-4"/>
          <w:sz w:val="20"/>
        </w:rPr>
        <w:t> </w:t>
      </w:r>
      <w:r>
        <w:rPr>
          <w:rFonts w:ascii="Times New Roman"/>
          <w:color w:val="001F5F"/>
          <w:sz w:val="20"/>
        </w:rPr>
        <w:t>McKee,</w:t>
      </w:r>
      <w:r>
        <w:rPr>
          <w:rFonts w:ascii="Times New Roman"/>
          <w:color w:val="001F5F"/>
          <w:spacing w:val="-3"/>
          <w:sz w:val="20"/>
        </w:rPr>
        <w:t> </w:t>
      </w:r>
      <w:r>
        <w:rPr>
          <w:rFonts w:ascii="Times New Roman"/>
          <w:b/>
          <w:color w:val="001F5F"/>
          <w:spacing w:val="-2"/>
          <w:sz w:val="20"/>
        </w:rPr>
        <w:t>Governor</w:t>
      </w:r>
    </w:p>
    <w:p>
      <w:pPr>
        <w:spacing w:before="49"/>
        <w:ind w:left="6984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color w:val="001F5F"/>
          <w:sz w:val="20"/>
        </w:rPr>
        <w:t>Marc</w:t>
      </w:r>
      <w:r>
        <w:rPr>
          <w:rFonts w:ascii="Times New Roman"/>
          <w:color w:val="001F5F"/>
          <w:spacing w:val="-5"/>
          <w:sz w:val="20"/>
        </w:rPr>
        <w:t> </w:t>
      </w:r>
      <w:r>
        <w:rPr>
          <w:rFonts w:ascii="Times New Roman"/>
          <w:color w:val="001F5F"/>
          <w:sz w:val="20"/>
        </w:rPr>
        <w:t>R.</w:t>
      </w:r>
      <w:r>
        <w:rPr>
          <w:rFonts w:ascii="Times New Roman"/>
          <w:color w:val="001F5F"/>
          <w:spacing w:val="-3"/>
          <w:sz w:val="20"/>
        </w:rPr>
        <w:t> </w:t>
      </w:r>
      <w:r>
        <w:rPr>
          <w:rFonts w:ascii="Times New Roman"/>
          <w:color w:val="001F5F"/>
          <w:sz w:val="20"/>
        </w:rPr>
        <w:t>Pappas,</w:t>
      </w:r>
      <w:r>
        <w:rPr>
          <w:rFonts w:ascii="Times New Roman"/>
          <w:color w:val="001F5F"/>
          <w:spacing w:val="-5"/>
          <w:sz w:val="20"/>
        </w:rPr>
        <w:t> </w:t>
      </w:r>
      <w:r>
        <w:rPr>
          <w:rFonts w:ascii="Times New Roman"/>
          <w:b/>
          <w:color w:val="001F5F"/>
          <w:spacing w:val="-2"/>
          <w:sz w:val="20"/>
        </w:rPr>
        <w:t>Director</w:t>
      </w:r>
    </w:p>
    <w:p>
      <w:pPr>
        <w:pStyle w:val="BodyText"/>
        <w:spacing w:before="2"/>
        <w:rPr>
          <w:rFonts w:ascii="Times New Roman"/>
          <w:b/>
          <w:sz w:val="23"/>
        </w:rPr>
      </w:pPr>
    </w:p>
    <w:p>
      <w:pPr>
        <w:pStyle w:val="Heading1"/>
        <w:spacing w:before="52"/>
        <w:ind w:left="2937" w:right="1431" w:hanging="898"/>
        <w:rPr>
          <w:u w:val="none"/>
        </w:rPr>
      </w:pPr>
      <w:r>
        <w:rPr>
          <w:u w:val="single"/>
        </w:rPr>
        <w:t>Building</w:t>
      </w:r>
      <w:r>
        <w:rPr>
          <w:spacing w:val="-8"/>
          <w:u w:val="single"/>
        </w:rPr>
        <w:t> </w:t>
      </w:r>
      <w:r>
        <w:rPr>
          <w:u w:val="single"/>
        </w:rPr>
        <w:t>Resilient</w:t>
      </w:r>
      <w:r>
        <w:rPr>
          <w:spacing w:val="-8"/>
          <w:u w:val="single"/>
        </w:rPr>
        <w:t> </w:t>
      </w:r>
      <w:r>
        <w:rPr>
          <w:u w:val="single"/>
        </w:rPr>
        <w:t>Infrastructure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Communities</w:t>
      </w:r>
      <w:r>
        <w:rPr>
          <w:spacing w:val="-6"/>
          <w:u w:val="single"/>
        </w:rPr>
        <w:t> </w:t>
      </w:r>
      <w:r>
        <w:rPr>
          <w:u w:val="single"/>
        </w:rPr>
        <w:t>(BRIC)</w:t>
      </w:r>
      <w:r>
        <w:rPr>
          <w:u w:val="none"/>
        </w:rPr>
        <w:t> </w:t>
      </w:r>
      <w:r>
        <w:rPr>
          <w:u w:val="single"/>
        </w:rPr>
        <w:t>Notice of Funding Opportunity (NOFO)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1"/>
        <w:ind w:left="18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Purpose:</w:t>
      </w:r>
    </w:p>
    <w:p>
      <w:pPr>
        <w:pStyle w:val="BodyText"/>
        <w:ind w:left="180"/>
      </w:pP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-5"/>
        </w:rPr>
        <w:t> </w:t>
      </w:r>
      <w:r>
        <w:rPr/>
        <w:t>2023</w:t>
      </w:r>
      <w:r>
        <w:rPr>
          <w:spacing w:val="-1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Resilient Infrastructure</w:t>
      </w:r>
      <w:r>
        <w:rPr>
          <w:spacing w:val="-4"/>
        </w:rPr>
        <w:t> </w:t>
      </w:r>
      <w:r>
        <w:rPr/>
        <w:t>and Communities</w:t>
      </w:r>
      <w:r>
        <w:rPr>
          <w:spacing w:val="-5"/>
        </w:rPr>
        <w:t> </w:t>
      </w:r>
      <w:r>
        <w:rPr/>
        <w:t>(BRIC) </w:t>
      </w:r>
      <w:r>
        <w:rPr>
          <w:spacing w:val="-2"/>
        </w:rPr>
        <w:t>Program</w:t>
      </w:r>
    </w:p>
    <w:p>
      <w:pPr>
        <w:pStyle w:val="BodyText"/>
        <w:spacing w:before="197"/>
        <w:ind w:left="180"/>
      </w:pPr>
      <w:r>
        <w:rPr/>
        <w:t>BRIC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FEMA</w:t>
      </w:r>
      <w:r>
        <w:rPr>
          <w:spacing w:val="-5"/>
        </w:rPr>
        <w:t> </w:t>
      </w:r>
      <w:r>
        <w:rPr/>
        <w:t>pre-disaster</w:t>
      </w:r>
      <w:r>
        <w:rPr>
          <w:spacing w:val="-5"/>
        </w:rPr>
        <w:t> </w:t>
      </w:r>
      <w:r>
        <w:rPr/>
        <w:t>hazard</w:t>
      </w:r>
      <w:r>
        <w:rPr>
          <w:spacing w:val="-4"/>
        </w:rPr>
        <w:t> </w:t>
      </w:r>
      <w:r>
        <w:rPr/>
        <w:t>mitigation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replaces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Pre-Disaster</w:t>
      </w:r>
      <w:r>
        <w:rPr>
          <w:spacing w:val="-5"/>
        </w:rPr>
        <w:t> </w:t>
      </w:r>
      <w:r>
        <w:rPr/>
        <w:t>Mitigation (PDM) program.</w:t>
      </w:r>
    </w:p>
    <w:p>
      <w:pPr>
        <w:pStyle w:val="BodyText"/>
        <w:spacing w:line="292" w:lineRule="exact" w:before="194"/>
        <w:ind w:left="180"/>
      </w:pPr>
      <w:r>
        <w:rPr/>
        <w:t>The</w:t>
      </w:r>
      <w:r>
        <w:rPr>
          <w:spacing w:val="-2"/>
        </w:rPr>
        <w:t> </w:t>
      </w:r>
      <w:r>
        <w:rPr/>
        <w:t>priorities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BRIC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2" w:lineRule="auto" w:before="0" w:after="0"/>
        <w:ind w:left="900" w:right="1345" w:hanging="360"/>
        <w:jc w:val="left"/>
        <w:rPr>
          <w:sz w:val="24"/>
        </w:rPr>
      </w:pPr>
      <w:r>
        <w:rPr>
          <w:sz w:val="24"/>
        </w:rPr>
        <w:t>Incentivize</w:t>
      </w:r>
      <w:r>
        <w:rPr>
          <w:spacing w:val="-5"/>
          <w:sz w:val="24"/>
        </w:rPr>
        <w:t> </w:t>
      </w:r>
      <w:r>
        <w:rPr>
          <w:sz w:val="24"/>
        </w:rPr>
        <w:t>natural</w:t>
      </w:r>
      <w:r>
        <w:rPr>
          <w:spacing w:val="-6"/>
          <w:sz w:val="24"/>
        </w:rPr>
        <w:t> </w:t>
      </w:r>
      <w:r>
        <w:rPr>
          <w:sz w:val="24"/>
        </w:rPr>
        <w:t>hazard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reduction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mitigate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public </w:t>
      </w:r>
      <w:r>
        <w:rPr>
          <w:spacing w:val="-2"/>
          <w:sz w:val="24"/>
        </w:rPr>
        <w:t>infrastructure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089" w:hanging="360"/>
        <w:jc w:val="left"/>
        <w:rPr>
          <w:sz w:val="24"/>
        </w:rPr>
      </w:pPr>
      <w:r>
        <w:rPr>
          <w:sz w:val="24"/>
        </w:rPr>
        <w:t>Incorporate</w:t>
      </w:r>
      <w:r>
        <w:rPr>
          <w:spacing w:val="-5"/>
          <w:sz w:val="24"/>
        </w:rPr>
        <w:t> </w:t>
      </w:r>
      <w:r>
        <w:rPr>
          <w:sz w:val="24"/>
        </w:rPr>
        <w:t>nature-based</w:t>
      </w:r>
      <w:r>
        <w:rPr>
          <w:spacing w:val="-3"/>
          <w:sz w:val="24"/>
        </w:rPr>
        <w:t> </w:t>
      </w:r>
      <w:r>
        <w:rPr>
          <w:sz w:val="24"/>
        </w:rPr>
        <w:t>solutions,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designed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reduce</w:t>
      </w:r>
      <w:r>
        <w:rPr>
          <w:spacing w:val="-4"/>
          <w:sz w:val="24"/>
        </w:rPr>
        <w:t> </w:t>
      </w:r>
      <w:r>
        <w:rPr>
          <w:sz w:val="24"/>
        </w:rPr>
        <w:t>carbon </w:t>
      </w:r>
      <w:r>
        <w:rPr>
          <w:spacing w:val="-2"/>
          <w:sz w:val="24"/>
        </w:rPr>
        <w:t>emissions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5" w:lineRule="exact" w:before="0" w:after="0"/>
        <w:ind w:left="899" w:right="0" w:hanging="360"/>
        <w:jc w:val="left"/>
        <w:rPr>
          <w:sz w:val="24"/>
        </w:rPr>
      </w:pP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climate</w:t>
      </w:r>
      <w:r>
        <w:rPr>
          <w:spacing w:val="-2"/>
          <w:sz w:val="24"/>
        </w:rPr>
        <w:t> </w:t>
      </w:r>
      <w:r>
        <w:rPr>
          <w:sz w:val="24"/>
        </w:rPr>
        <w:t>resilience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adaptation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511" w:hanging="360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3"/>
          <w:sz w:val="24"/>
        </w:rPr>
        <w:t> </w:t>
      </w:r>
      <w:r>
        <w:rPr>
          <w:sz w:val="24"/>
        </w:rPr>
        <w:t>equity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prioritize</w:t>
      </w:r>
      <w:r>
        <w:rPr>
          <w:spacing w:val="-5"/>
          <w:sz w:val="24"/>
        </w:rPr>
        <w:t> </w:t>
      </w:r>
      <w:r>
        <w:rPr>
          <w:sz w:val="24"/>
        </w:rPr>
        <w:t>disadvantaged</w:t>
      </w:r>
      <w:r>
        <w:rPr>
          <w:spacing w:val="-5"/>
          <w:sz w:val="24"/>
        </w:rPr>
        <w:t> </w:t>
      </w:r>
      <w:r>
        <w:rPr>
          <w:sz w:val="24"/>
        </w:rPr>
        <w:t>communities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referenced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Executive Order 14008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216" w:hanging="360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applicants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adoption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latest published editions of building codes</w:t>
      </w:r>
    </w:p>
    <w:p>
      <w:pPr>
        <w:pStyle w:val="BodyText"/>
        <w:spacing w:before="192"/>
        <w:ind w:left="180"/>
      </w:pPr>
      <w:r>
        <w:rPr/>
        <w:t>The</w:t>
      </w:r>
      <w:r>
        <w:rPr>
          <w:spacing w:val="-1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-3"/>
        </w:rPr>
        <w:t> </w:t>
      </w:r>
      <w:r>
        <w:rPr/>
        <w:t>2023</w:t>
      </w:r>
      <w:r>
        <w:rPr>
          <w:spacing w:val="-1"/>
        </w:rPr>
        <w:t> </w:t>
      </w:r>
      <w:r>
        <w:rPr/>
        <w:t>(FY</w:t>
      </w:r>
      <w:r>
        <w:rPr>
          <w:spacing w:val="-6"/>
        </w:rPr>
        <w:t> </w:t>
      </w:r>
      <w:r>
        <w:rPr/>
        <w:t>23)</w:t>
      </w:r>
      <w:r>
        <w:rPr>
          <w:spacing w:val="-1"/>
        </w:rPr>
        <w:t> </w:t>
      </w:r>
      <w:r>
        <w:rPr/>
        <w:t>BRIC</w:t>
      </w:r>
      <w:r>
        <w:rPr>
          <w:spacing w:val="-2"/>
        </w:rPr>
        <w:t> </w:t>
      </w:r>
      <w:r>
        <w:rPr/>
        <w:t>NOFO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accessed at</w:t>
      </w:r>
      <w:r>
        <w:rPr>
          <w:spacing w:val="-2"/>
        </w:rPr>
        <w:t> </w:t>
      </w:r>
      <w:hyperlink r:id="rId7">
        <w:r>
          <w:rPr>
            <w:color w:val="0000FF"/>
            <w:u w:val="single" w:color="0000FF"/>
          </w:rPr>
          <w:t>Fiscal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Year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2023 </w:t>
        </w:r>
        <w:r>
          <w:rPr>
            <w:color w:val="0000FF"/>
            <w:spacing w:val="-4"/>
            <w:u w:val="single" w:color="0000FF"/>
          </w:rPr>
          <w:t>NOFO</w:t>
        </w:r>
      </w:hyperlink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52"/>
        <w:ind w:left="180"/>
      </w:pPr>
      <w:r>
        <w:rPr/>
        <w:t>RIEMA</w:t>
      </w:r>
      <w:r>
        <w:rPr>
          <w:spacing w:val="-2"/>
        </w:rPr>
        <w:t> </w:t>
      </w:r>
      <w:r>
        <w:rPr/>
        <w:t>encourages</w:t>
      </w:r>
      <w:r>
        <w:rPr>
          <w:spacing w:val="-5"/>
        </w:rPr>
        <w:t> </w:t>
      </w:r>
      <w:r>
        <w:rPr/>
        <w:t>reviewing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BRIC</w:t>
      </w:r>
      <w:r>
        <w:rPr>
          <w:spacing w:val="-3"/>
        </w:rPr>
        <w:t> </w:t>
      </w:r>
      <w:r>
        <w:rPr/>
        <w:t>NOFO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applying,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program information and other grant application and administration requirements.</w:t>
      </w:r>
    </w:p>
    <w:p>
      <w:pPr>
        <w:pStyle w:val="Heading1"/>
        <w:spacing w:before="196"/>
        <w:rPr>
          <w:u w:val="none"/>
        </w:rPr>
      </w:pPr>
      <w:r>
        <w:rPr>
          <w:u w:val="single"/>
        </w:rPr>
        <w:t>Cost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Share:</w:t>
      </w:r>
    </w:p>
    <w:p>
      <w:pPr>
        <w:pStyle w:val="BodyText"/>
        <w:ind w:left="180" w:right="230"/>
      </w:pPr>
      <w:r>
        <w:rPr/>
        <w:t>A cost share is required for all sub-applications funded under this program. The non-federal cost share may consist of cash, donated or in-kind services, materials, or any combination thereof.</w:t>
      </w:r>
      <w:r>
        <w:rPr>
          <w:spacing w:val="-5"/>
        </w:rPr>
        <w:t> </w:t>
      </w:r>
      <w:r>
        <w:rPr/>
        <w:t>FEMA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</w:t>
      </w:r>
      <w:r>
        <w:rPr/>
        <w:t>100</w:t>
      </w:r>
      <w:r>
        <w:rPr>
          <w:spacing w:val="-3"/>
        </w:rPr>
        <w:t> </w:t>
      </w:r>
      <w:r>
        <w:rPr/>
        <w:t>percent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funding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costs.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cost share for BRIC is as follows: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4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Generally,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program is</w:t>
      </w:r>
      <w:r>
        <w:rPr>
          <w:spacing w:val="-4"/>
          <w:sz w:val="24"/>
        </w:rPr>
        <w:t> </w:t>
      </w:r>
      <w:r>
        <w:rPr>
          <w:sz w:val="24"/>
        </w:rPr>
        <w:t>75%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25%</w:t>
      </w:r>
      <w:r>
        <w:rPr>
          <w:spacing w:val="-3"/>
          <w:sz w:val="24"/>
        </w:rPr>
        <w:t> </w:t>
      </w:r>
      <w:r>
        <w:rPr>
          <w:sz w:val="24"/>
        </w:rPr>
        <w:t>non-federal </w:t>
      </w:r>
      <w:r>
        <w:rPr>
          <w:spacing w:val="-2"/>
          <w:sz w:val="24"/>
        </w:rPr>
        <w:t>(local).</w:t>
      </w:r>
    </w:p>
    <w:p>
      <w:pPr>
        <w:pStyle w:val="Heading1"/>
        <w:spacing w:before="197"/>
        <w:rPr>
          <w:u w:val="none"/>
        </w:rPr>
      </w:pPr>
      <w:r>
        <w:rPr>
          <w:u w:val="single"/>
        </w:rPr>
        <w:t>Initial</w:t>
      </w:r>
      <w:r>
        <w:rPr>
          <w:spacing w:val="-4"/>
          <w:u w:val="single"/>
        </w:rPr>
        <w:t> </w:t>
      </w:r>
      <w:r>
        <w:rPr>
          <w:u w:val="single"/>
        </w:rPr>
        <w:t>Eligibility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spacing w:before="0"/>
        <w:ind w:left="179" w:right="0" w:firstLine="0"/>
        <w:jc w:val="left"/>
        <w:rPr>
          <w:sz w:val="24"/>
        </w:rPr>
      </w:pPr>
      <w:r>
        <w:rPr>
          <w:b/>
          <w:i/>
          <w:sz w:val="24"/>
        </w:rPr>
        <w:t>To be eligible for BRIC funding, FEMA requires all sub applicants to have a current FEMA-</w:t>
      </w:r>
      <w:r>
        <w:rPr>
          <w:b/>
          <w:i/>
          <w:sz w:val="24"/>
        </w:rPr>
        <w:t> approved Hazard Mitigation Plan by the application deadline </w:t>
      </w:r>
      <w:r>
        <w:rPr>
          <w:b/>
          <w:i/>
          <w:sz w:val="24"/>
          <w:u w:val="single"/>
        </w:rPr>
        <w:t>AND</w:t>
      </w:r>
      <w:r>
        <w:rPr>
          <w:b/>
          <w:i/>
          <w:sz w:val="24"/>
        </w:rPr>
        <w:t> at the time of obligated funding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consideration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consistent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or enhanced hazard mitigation plan and the applicant's hazard mitigation plan for the local jurisdiction in which the activity is located.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884555</wp:posOffset>
            </wp:positionH>
            <wp:positionV relativeFrom="paragraph">
              <wp:posOffset>230879</wp:posOffset>
            </wp:positionV>
            <wp:extent cx="5883110" cy="23622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1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2240" w:h="15840"/>
          <w:pgMar w:top="580" w:bottom="280" w:left="1260" w:right="1280"/>
        </w:sectPr>
      </w:pPr>
    </w:p>
    <w:p>
      <w:pPr>
        <w:pStyle w:val="Heading1"/>
        <w:spacing w:line="292" w:lineRule="exact" w:before="39"/>
        <w:rPr>
          <w:u w:val="none"/>
        </w:rPr>
      </w:pPr>
      <w:r>
        <w:rPr>
          <w:u w:val="single"/>
        </w:rPr>
        <w:t>Eligible</w:t>
      </w:r>
      <w:r>
        <w:rPr>
          <w:spacing w:val="-9"/>
          <w:u w:val="single"/>
        </w:rPr>
        <w:t> </w:t>
      </w:r>
      <w:r>
        <w:rPr>
          <w:u w:val="single"/>
        </w:rPr>
        <w:t>Applicant/Sub-</w:t>
      </w:r>
      <w:r>
        <w:rPr>
          <w:spacing w:val="-2"/>
          <w:u w:val="single"/>
        </w:rPr>
        <w:t>applicants: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5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Agencies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5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Governments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" w:after="0"/>
        <w:ind w:left="900" w:right="1079" w:hanging="360"/>
        <w:jc w:val="left"/>
        <w:rPr>
          <w:sz w:val="24"/>
        </w:rPr>
      </w:pPr>
      <w:r>
        <w:rPr>
          <w:sz w:val="24"/>
        </w:rPr>
        <w:t>Tribal</w:t>
      </w:r>
      <w:r>
        <w:rPr>
          <w:spacing w:val="-4"/>
          <w:sz w:val="24"/>
        </w:rPr>
        <w:t> </w:t>
      </w:r>
      <w:r>
        <w:rPr>
          <w:sz w:val="24"/>
        </w:rPr>
        <w:t>Governments/Communities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Indian</w:t>
      </w:r>
      <w:r>
        <w:rPr>
          <w:spacing w:val="-5"/>
          <w:sz w:val="24"/>
        </w:rPr>
        <w:t> </w:t>
      </w:r>
      <w:r>
        <w:rPr>
          <w:sz w:val="24"/>
        </w:rPr>
        <w:t>tribes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authorized</w:t>
      </w:r>
      <w:r>
        <w:rPr>
          <w:spacing w:val="-5"/>
          <w:sz w:val="24"/>
        </w:rPr>
        <w:t> </w:t>
      </w:r>
      <w:r>
        <w:rPr>
          <w:sz w:val="24"/>
        </w:rPr>
        <w:t>non-profit</w:t>
      </w:r>
      <w:r>
        <w:rPr>
          <w:spacing w:val="-5"/>
          <w:sz w:val="24"/>
        </w:rPr>
        <w:t> </w:t>
      </w:r>
      <w:r>
        <w:rPr>
          <w:sz w:val="24"/>
        </w:rPr>
        <w:t>tribal </w:t>
      </w:r>
      <w:r>
        <w:rPr>
          <w:spacing w:val="-2"/>
          <w:sz w:val="24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2" w:lineRule="auto" w:before="0" w:after="0"/>
        <w:ind w:left="899" w:right="163" w:hanging="360"/>
        <w:jc w:val="left"/>
        <w:rPr>
          <w:sz w:val="24"/>
        </w:rPr>
      </w:pPr>
      <w:r>
        <w:rPr>
          <w:sz w:val="24"/>
        </w:rPr>
        <w:t>Private</w:t>
      </w:r>
      <w:r>
        <w:rPr>
          <w:spacing w:val="-5"/>
          <w:sz w:val="24"/>
        </w:rPr>
        <w:t> </w:t>
      </w:r>
      <w:r>
        <w:rPr>
          <w:sz w:val="24"/>
        </w:rPr>
        <w:t>Non-profit</w:t>
      </w:r>
      <w:r>
        <w:rPr>
          <w:spacing w:val="-2"/>
          <w:sz w:val="24"/>
        </w:rPr>
        <w:t> </w:t>
      </w:r>
      <w:r>
        <w:rPr>
          <w:sz w:val="24"/>
        </w:rPr>
        <w:t>Organizations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Certain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5"/>
          <w:sz w:val="24"/>
        </w:rPr>
        <w:t> </w:t>
      </w:r>
      <w:r>
        <w:rPr>
          <w:sz w:val="24"/>
        </w:rPr>
        <w:t>non-profit</w:t>
      </w:r>
      <w:r>
        <w:rPr>
          <w:spacing w:val="-5"/>
          <w:sz w:val="24"/>
        </w:rPr>
        <w:t> </w:t>
      </w:r>
      <w:r>
        <w:rPr>
          <w:sz w:val="24"/>
        </w:rPr>
        <w:t>organizations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institutions providing like-government services and facilities.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274" w:hanging="360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businesses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not apply</w:t>
      </w:r>
      <w:r>
        <w:rPr>
          <w:spacing w:val="-5"/>
          <w:sz w:val="24"/>
        </w:rPr>
        <w:t> </w:t>
      </w:r>
      <w:r>
        <w:rPr>
          <w:sz w:val="24"/>
        </w:rPr>
        <w:t>directly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FEMA;</w:t>
      </w:r>
      <w:r>
        <w:rPr>
          <w:spacing w:val="-3"/>
          <w:sz w:val="24"/>
        </w:rPr>
        <w:t> </w:t>
      </w:r>
      <w:r>
        <w:rPr>
          <w:sz w:val="24"/>
        </w:rPr>
        <w:t>however,</w:t>
      </w:r>
      <w:r>
        <w:rPr>
          <w:spacing w:val="-4"/>
          <w:sz w:val="24"/>
        </w:rPr>
        <w:t> </w:t>
      </w:r>
      <w:r>
        <w:rPr>
          <w:sz w:val="24"/>
        </w:rPr>
        <w:t>eligible local governments or private non-profit organizations may apply on their behalf.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single"/>
        </w:rPr>
        <w:t>Available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Funding:</w:t>
      </w:r>
    </w:p>
    <w:p>
      <w:pPr>
        <w:pStyle w:val="BodyText"/>
        <w:ind w:left="180"/>
      </w:pPr>
      <w:r>
        <w:rPr/>
        <w:t>For</w:t>
      </w:r>
      <w:r>
        <w:rPr>
          <w:spacing w:val="-1"/>
        </w:rPr>
        <w:t> </w:t>
      </w:r>
      <w:r>
        <w:rPr/>
        <w:t>FY</w:t>
      </w:r>
      <w:r>
        <w:rPr>
          <w:spacing w:val="-3"/>
        </w:rPr>
        <w:t> </w:t>
      </w:r>
      <w:r>
        <w:rPr/>
        <w:t>23,</w:t>
      </w:r>
      <w:r>
        <w:rPr>
          <w:spacing w:val="-4"/>
        </w:rPr>
        <w:t> </w:t>
      </w:r>
      <w:r>
        <w:rPr/>
        <w:t>FEMA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distribute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$1</w:t>
      </w:r>
      <w:r>
        <w:rPr>
          <w:spacing w:val="-3"/>
        </w:rPr>
        <w:t> </w:t>
      </w:r>
      <w:r>
        <w:rPr/>
        <w:t>billion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BRIC</w:t>
      </w:r>
      <w:r>
        <w:rPr>
          <w:spacing w:val="-2"/>
        </w:rPr>
        <w:t> </w:t>
      </w:r>
      <w:r>
        <w:rPr/>
        <w:t>grant</w:t>
      </w:r>
      <w:r>
        <w:rPr>
          <w:spacing w:val="-3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</w:t>
      </w:r>
      <w:r>
        <w:rPr>
          <w:spacing w:val="-2"/>
        </w:rPr>
        <w:t>manner: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5" w:lineRule="exact" w:before="1" w:after="0"/>
        <w:ind w:left="899" w:right="0" w:hanging="359"/>
        <w:jc w:val="left"/>
        <w:rPr>
          <w:sz w:val="24"/>
        </w:rPr>
      </w:pPr>
      <w:r>
        <w:rPr>
          <w:sz w:val="24"/>
        </w:rPr>
        <w:t>State/Territory</w:t>
      </w:r>
      <w:r>
        <w:rPr>
          <w:spacing w:val="-7"/>
          <w:sz w:val="24"/>
        </w:rPr>
        <w:t> </w:t>
      </w:r>
      <w:r>
        <w:rPr>
          <w:sz w:val="24"/>
        </w:rPr>
        <w:t>Allocation: $112</w:t>
      </w:r>
      <w:r>
        <w:rPr>
          <w:spacing w:val="-2"/>
          <w:sz w:val="24"/>
        </w:rPr>
        <w:t> </w:t>
      </w:r>
      <w:r>
        <w:rPr>
          <w:sz w:val="24"/>
        </w:rPr>
        <w:t>million</w:t>
      </w:r>
      <w:r>
        <w:rPr>
          <w:spacing w:val="1"/>
          <w:sz w:val="24"/>
        </w:rPr>
        <w:t> </w:t>
      </w:r>
      <w:r>
        <w:rPr>
          <w:sz w:val="24"/>
        </w:rPr>
        <w:t>(up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$2</w:t>
      </w:r>
      <w:r>
        <w:rPr>
          <w:spacing w:val="-2"/>
          <w:sz w:val="24"/>
        </w:rPr>
        <w:t> </w:t>
      </w:r>
      <w:r>
        <w:rPr>
          <w:sz w:val="24"/>
        </w:rPr>
        <w:t>million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applicant.)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271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Competition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Mitigation</w:t>
      </w:r>
      <w:r>
        <w:rPr>
          <w:spacing w:val="-5"/>
          <w:sz w:val="24"/>
        </w:rPr>
        <w:t> </w:t>
      </w:r>
      <w:r>
        <w:rPr>
          <w:sz w:val="24"/>
        </w:rPr>
        <w:t>Projects:</w:t>
      </w:r>
      <w:r>
        <w:rPr>
          <w:spacing w:val="-3"/>
          <w:sz w:val="24"/>
        </w:rPr>
        <w:t> </w:t>
      </w:r>
      <w:r>
        <w:rPr>
          <w:sz w:val="24"/>
        </w:rPr>
        <w:t>$701,000,000</w:t>
      </w:r>
      <w:r>
        <w:rPr>
          <w:spacing w:val="-5"/>
          <w:sz w:val="24"/>
        </w:rPr>
        <w:t> </w:t>
      </w:r>
      <w:r>
        <w:rPr>
          <w:sz w:val="24"/>
        </w:rPr>
        <w:t>(estimated).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funds</w:t>
      </w:r>
      <w:r>
        <w:rPr>
          <w:spacing w:val="-6"/>
          <w:sz w:val="24"/>
        </w:rPr>
        <w:t> </w:t>
      </w:r>
      <w:r>
        <w:rPr>
          <w:sz w:val="24"/>
        </w:rPr>
        <w:t>that are not awarded from the State/Territory Allocation will be re-allocated.</w:t>
      </w: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1427481</wp:posOffset>
            </wp:positionH>
            <wp:positionV relativeFrom="paragraph">
              <wp:posOffset>186475</wp:posOffset>
            </wp:positionV>
            <wp:extent cx="4981578" cy="2057400"/>
            <wp:effectExtent l="0" t="0" r="0" b="0"/>
            <wp:wrapTopAndBottom/>
            <wp:docPr id="12" name="Image 12" descr="Table  Description automatically generated with low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Table  Description automatically generated with low confidenc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8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line="292" w:lineRule="exact" w:before="209"/>
        <w:ind w:left="180"/>
      </w:pPr>
      <w:r>
        <w:rPr/>
        <w:t>The</w:t>
      </w:r>
      <w:r>
        <w:rPr>
          <w:spacing w:val="-2"/>
        </w:rPr>
        <w:t> </w:t>
      </w:r>
      <w:r>
        <w:rPr/>
        <w:t>funding</w:t>
      </w:r>
      <w:r>
        <w:rPr>
          <w:spacing w:val="-1"/>
        </w:rPr>
        <w:t> </w:t>
      </w:r>
      <w:r>
        <w:rPr/>
        <w:t>caps</w:t>
      </w:r>
      <w:r>
        <w:rPr>
          <w:spacing w:val="-3"/>
        </w:rPr>
        <w:t> </w:t>
      </w:r>
      <w:r>
        <w:rPr/>
        <w:t>(federal share)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 BRIC</w:t>
      </w:r>
      <w:r>
        <w:rPr>
          <w:spacing w:val="-1"/>
        </w:rPr>
        <w:t> </w:t>
      </w:r>
      <w:r>
        <w:rPr/>
        <w:t>program are</w:t>
      </w:r>
      <w:r>
        <w:rPr>
          <w:spacing w:val="-2"/>
        </w:rPr>
        <w:t> </w:t>
      </w:r>
      <w:r>
        <w:rPr/>
        <w:t>as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05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Set aside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Rhode</w:t>
      </w:r>
      <w:r>
        <w:rPr>
          <w:spacing w:val="-1"/>
          <w:sz w:val="24"/>
        </w:rPr>
        <w:t> </w:t>
      </w:r>
      <w:r>
        <w:rPr>
          <w:sz w:val="24"/>
        </w:rPr>
        <w:t>Island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an Applicant</w:t>
      </w:r>
      <w:r>
        <w:rPr>
          <w:spacing w:val="-3"/>
          <w:sz w:val="24"/>
        </w:rPr>
        <w:t> </w:t>
      </w:r>
      <w:r>
        <w:rPr>
          <w:sz w:val="24"/>
        </w:rPr>
        <w:t>is: </w:t>
      </w:r>
      <w:r>
        <w:rPr>
          <w:spacing w:val="-2"/>
          <w:sz w:val="24"/>
        </w:rPr>
        <w:t>$2,000,000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35" w:lineRule="auto" w:before="4" w:after="0"/>
        <w:ind w:left="1620" w:right="292" w:hanging="360"/>
        <w:jc w:val="left"/>
        <w:rPr>
          <w:sz w:val="24"/>
        </w:rPr>
      </w:pP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$1,500,000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Capability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Capacity</w:t>
      </w:r>
      <w:r>
        <w:rPr>
          <w:spacing w:val="-3"/>
          <w:sz w:val="24"/>
        </w:rPr>
        <w:t> </w:t>
      </w:r>
      <w:r>
        <w:rPr>
          <w:sz w:val="24"/>
        </w:rPr>
        <w:t>Building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3"/>
          <w:sz w:val="24"/>
        </w:rPr>
        <w:t> </w:t>
      </w:r>
      <w:r>
        <w:rPr>
          <w:sz w:val="24"/>
        </w:rPr>
        <w:t>per </w:t>
      </w:r>
      <w:r>
        <w:rPr>
          <w:spacing w:val="-2"/>
          <w:sz w:val="24"/>
        </w:rPr>
        <w:t>applicant.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1" w:after="0"/>
        <w:ind w:left="900" w:right="436" w:hanging="360"/>
        <w:jc w:val="left"/>
        <w:rPr>
          <w:sz w:val="24"/>
        </w:rPr>
      </w:pPr>
      <w:r>
        <w:rPr>
          <w:sz w:val="24"/>
        </w:rPr>
        <w:t>Tribal Set-Aside Activity Caps: The combined cost of the applicant’s capability- and- capacity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Tribal</w:t>
      </w:r>
      <w:r>
        <w:rPr>
          <w:spacing w:val="-5"/>
          <w:sz w:val="24"/>
        </w:rPr>
        <w:t> </w:t>
      </w:r>
      <w:r>
        <w:rPr>
          <w:sz w:val="24"/>
        </w:rPr>
        <w:t>Set-Aside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exceed</w:t>
      </w:r>
      <w:r>
        <w:rPr>
          <w:spacing w:val="-2"/>
          <w:sz w:val="24"/>
        </w:rPr>
        <w:t> </w:t>
      </w:r>
      <w:r>
        <w:rPr>
          <w:sz w:val="24"/>
        </w:rPr>
        <w:t>$1,000,000</w:t>
      </w:r>
      <w:r>
        <w:rPr>
          <w:spacing w:val="-5"/>
          <w:sz w:val="24"/>
        </w:rPr>
        <w:t> </w:t>
      </w:r>
      <w:r>
        <w:rPr>
          <w:sz w:val="24"/>
        </w:rPr>
        <w:t>per </w:t>
      </w:r>
      <w:r>
        <w:rPr>
          <w:spacing w:val="-2"/>
          <w:sz w:val="24"/>
        </w:rPr>
        <w:t>applicant.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72" w:hanging="360"/>
        <w:jc w:val="left"/>
        <w:rPr>
          <w:sz w:val="24"/>
        </w:rPr>
      </w:pPr>
      <w:r>
        <w:rPr>
          <w:sz w:val="24"/>
        </w:rPr>
        <w:t>Mitigation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$1,000,000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National Competition Cap for funding: Sub-applicants are limited to $50 million per sub </w:t>
      </w:r>
      <w:r>
        <w:rPr>
          <w:spacing w:val="-2"/>
          <w:sz w:val="24"/>
        </w:rPr>
        <w:t>application.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9"/>
          <w:pgSz w:w="12240" w:h="15840"/>
          <w:pgMar w:footer="1499" w:header="0" w:top="1400" w:bottom="1680" w:left="1260" w:right="1280"/>
          <w:pgNumType w:start="2"/>
        </w:sectPr>
      </w:pPr>
    </w:p>
    <w:p>
      <w:pPr>
        <w:pStyle w:val="Heading1"/>
        <w:spacing w:before="39"/>
        <w:rPr>
          <w:u w:val="none"/>
        </w:rPr>
      </w:pPr>
      <w:r>
        <w:rPr>
          <w:u w:val="single"/>
        </w:rPr>
        <w:t>Eligible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Activities:</w:t>
      </w:r>
    </w:p>
    <w:p>
      <w:pPr>
        <w:pStyle w:val="BodyText"/>
        <w:spacing w:line="292" w:lineRule="exact"/>
        <w:ind w:left="180"/>
      </w:pPr>
      <w:r>
        <w:rPr/>
        <w:t>FEMA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fund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uses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through</w:t>
      </w:r>
      <w:r>
        <w:rPr>
          <w:spacing w:val="2"/>
        </w:rPr>
        <w:t> </w:t>
      </w:r>
      <w:r>
        <w:rPr>
          <w:spacing w:val="-2"/>
        </w:rPr>
        <w:t>BRIC: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3" w:hanging="360"/>
        <w:jc w:val="left"/>
        <w:rPr>
          <w:sz w:val="24"/>
        </w:rPr>
      </w:pPr>
      <w:r>
        <w:rPr>
          <w:sz w:val="24"/>
        </w:rPr>
        <w:t>Capability-</w:t>
      </w:r>
      <w:r>
        <w:rPr>
          <w:spacing w:val="-1"/>
          <w:sz w:val="24"/>
        </w:rPr>
        <w:t> </w:t>
      </w:r>
      <w:r>
        <w:rPr>
          <w:sz w:val="24"/>
        </w:rPr>
        <w:t>and Capacity-Building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State/Territory Allocation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Tribal</w:t>
      </w:r>
      <w:r>
        <w:rPr>
          <w:spacing w:val="-6"/>
          <w:sz w:val="24"/>
        </w:rPr>
        <w:t> </w:t>
      </w:r>
      <w:r>
        <w:rPr>
          <w:sz w:val="24"/>
        </w:rPr>
        <w:t>Set-Aside.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knowledge,</w:t>
      </w:r>
      <w:r>
        <w:rPr>
          <w:spacing w:val="-3"/>
          <w:sz w:val="24"/>
        </w:rPr>
        <w:t> </w:t>
      </w:r>
      <w:r>
        <w:rPr>
          <w:sz w:val="24"/>
        </w:rPr>
        <w:t>skills, and expertise of the current workforce to expand or improve the administration of mitigation assistance.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1" w:after="0"/>
        <w:ind w:left="900" w:right="528" w:hanging="360"/>
        <w:jc w:val="left"/>
        <w:rPr>
          <w:sz w:val="24"/>
        </w:rPr>
      </w:pPr>
      <w:r>
        <w:rPr>
          <w:sz w:val="24"/>
        </w:rPr>
        <w:t>Mitigation</w:t>
      </w:r>
      <w:r>
        <w:rPr>
          <w:spacing w:val="-5"/>
          <w:sz w:val="24"/>
        </w:rPr>
        <w:t> </w:t>
      </w:r>
      <w:r>
        <w:rPr>
          <w:sz w:val="24"/>
        </w:rPr>
        <w:t>Projects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State/Territory</w:t>
      </w:r>
      <w:r>
        <w:rPr>
          <w:spacing w:val="-4"/>
          <w:sz w:val="24"/>
        </w:rPr>
        <w:t> </w:t>
      </w:r>
      <w:r>
        <w:rPr>
          <w:sz w:val="24"/>
        </w:rPr>
        <w:t>Allocation,</w:t>
      </w:r>
      <w:r>
        <w:rPr>
          <w:spacing w:val="-6"/>
          <w:sz w:val="24"/>
        </w:rPr>
        <w:t> </w:t>
      </w:r>
      <w:r>
        <w:rPr>
          <w:sz w:val="24"/>
        </w:rPr>
        <w:t>Tribal</w:t>
      </w:r>
      <w:r>
        <w:rPr>
          <w:spacing w:val="-3"/>
          <w:sz w:val="24"/>
        </w:rPr>
        <w:t> </w:t>
      </w:r>
      <w:r>
        <w:rPr>
          <w:sz w:val="24"/>
        </w:rPr>
        <w:t>Set- Aside, and the national competition. Mitigation projects are cost-effective projects designed to increase resilience and public safety;</w:t>
      </w:r>
      <w:r>
        <w:rPr>
          <w:spacing w:val="-2"/>
          <w:sz w:val="24"/>
        </w:rPr>
        <w:t> </w:t>
      </w:r>
      <w:r>
        <w:rPr>
          <w:sz w:val="24"/>
        </w:rPr>
        <w:t>reduce injuries and loss of life; and reduce damage and destruction to property, critical services, facilities, and </w:t>
      </w:r>
      <w:r>
        <w:rPr>
          <w:spacing w:val="-2"/>
          <w:sz w:val="24"/>
        </w:rPr>
        <w:t>infrastructure.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240" w:hanging="360"/>
        <w:jc w:val="left"/>
        <w:rPr>
          <w:sz w:val="24"/>
        </w:rPr>
      </w:pPr>
      <w:r>
        <w:rPr>
          <w:sz w:val="24"/>
        </w:rPr>
        <w:t>Management Costs can be submitted under the State/Territory Allocation, Tribal Set- Aside, and national competition. Management costs allow FEMA to provide financial assistance to reimburse the recipient and subrecipient for eligible and reasonable indirect</w:t>
      </w:r>
      <w:r>
        <w:rPr>
          <w:spacing w:val="-3"/>
          <w:sz w:val="24"/>
        </w:rPr>
        <w:t> </w:t>
      </w:r>
      <w:r>
        <w:rPr>
          <w:sz w:val="24"/>
        </w:rPr>
        <w:t>costs,</w:t>
      </w:r>
      <w:r>
        <w:rPr>
          <w:spacing w:val="-6"/>
          <w:sz w:val="24"/>
        </w:rPr>
        <w:t> </w:t>
      </w:r>
      <w:r>
        <w:rPr>
          <w:sz w:val="24"/>
        </w:rPr>
        <w:t>direct</w:t>
      </w:r>
      <w:r>
        <w:rPr>
          <w:spacing w:val="-3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costs,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administrative</w:t>
      </w:r>
      <w:r>
        <w:rPr>
          <w:spacing w:val="-5"/>
          <w:sz w:val="24"/>
        </w:rPr>
        <w:t> </w:t>
      </w:r>
      <w:r>
        <w:rPr>
          <w:sz w:val="24"/>
        </w:rPr>
        <w:t>expenses</w:t>
      </w:r>
      <w:r>
        <w:rPr>
          <w:spacing w:val="-5"/>
          <w:sz w:val="24"/>
        </w:rPr>
        <w:t> </w:t>
      </w:r>
      <w:r>
        <w:rPr>
          <w:sz w:val="24"/>
        </w:rPr>
        <w:t>associated with a specific mitigation project or C&amp;CB activity.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80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162493</wp:posOffset>
                </wp:positionV>
                <wp:extent cx="1280160" cy="107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801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 h="10795">
                              <a:moveTo>
                                <a:pt x="128016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280160" y="10680"/>
                              </a:lnTo>
                              <a:lnTo>
                                <a:pt x="128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794774pt;width:100.8pt;height:.841pt;mso-position-horizontal-relative:page;mso-position-vertical-relative:paragraph;z-index:1573017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> Process:</w:t>
      </w:r>
    </w:p>
    <w:p>
      <w:pPr>
        <w:pStyle w:val="ListParagraph"/>
        <w:numPr>
          <w:ilvl w:val="0"/>
          <w:numId w:val="2"/>
        </w:numPr>
        <w:tabs>
          <w:tab w:pos="898" w:val="left" w:leader="none"/>
          <w:tab w:pos="900" w:val="left" w:leader="none"/>
        </w:tabs>
        <w:spacing w:line="240" w:lineRule="auto" w:before="0" w:after="0"/>
        <w:ind w:left="900" w:right="733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2208276</wp:posOffset>
                </wp:positionH>
                <wp:positionV relativeFrom="paragraph">
                  <wp:posOffset>347799</wp:posOffset>
                </wp:positionV>
                <wp:extent cx="1602105" cy="1079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21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10795">
                              <a:moveTo>
                                <a:pt x="160172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01724" y="10667"/>
                              </a:lnTo>
                              <a:lnTo>
                                <a:pt x="160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880005pt;margin-top:27.38579pt;width:126.12pt;height:.84pt;mso-position-horizontal-relative:page;mso-position-vertical-relative:paragraph;z-index:15730688" id="docshape11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Sub-recipients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Intent</w:t>
      </w:r>
      <w:r>
        <w:rPr>
          <w:spacing w:val="-1"/>
          <w:sz w:val="24"/>
        </w:rPr>
        <w:t> </w:t>
      </w:r>
      <w:r>
        <w:rPr>
          <w:sz w:val="24"/>
        </w:rPr>
        <w:t>(NOI)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RIEMA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and Mitigation at </w:t>
      </w:r>
      <w:hyperlink r:id="rId11">
        <w:r>
          <w:rPr>
            <w:color w:val="0000FF"/>
            <w:sz w:val="24"/>
          </w:rPr>
          <w:t>raeanne.culp@ema.ri.gov</w:t>
        </w:r>
      </w:hyperlink>
      <w:r>
        <w:rPr>
          <w:color w:val="0000FF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  <w:tab w:pos="900" w:val="left" w:leader="none"/>
        </w:tabs>
        <w:spacing w:line="240" w:lineRule="auto" w:before="52" w:after="0"/>
        <w:ind w:left="900" w:right="358" w:hanging="360"/>
        <w:jc w:val="left"/>
        <w:rPr>
          <w:sz w:val="24"/>
        </w:rPr>
      </w:pPr>
      <w:r>
        <w:rPr>
          <w:sz w:val="24"/>
        </w:rPr>
        <w:t>Upon approval of NOI, Eligible sub-applicants will be required to submit project applications through FEMA Grants Outcome (FEMA GO), which is the award management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BRIC.</w:t>
      </w:r>
      <w:r>
        <w:rPr>
          <w:spacing w:val="-3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https://go.fema.gov/</w:t>
        </w:r>
      </w:hyperlink>
      <w:r>
        <w:rPr>
          <w:color w:val="0000FF"/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period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FY</w:t>
      </w:r>
      <w:r>
        <w:rPr>
          <w:spacing w:val="-4"/>
          <w:sz w:val="24"/>
        </w:rPr>
        <w:t> </w:t>
      </w:r>
      <w:r>
        <w:rPr>
          <w:sz w:val="24"/>
        </w:rPr>
        <w:t>23</w:t>
      </w:r>
      <w:r>
        <w:rPr>
          <w:spacing w:val="-2"/>
          <w:sz w:val="24"/>
        </w:rPr>
        <w:t> </w:t>
      </w:r>
      <w:r>
        <w:rPr>
          <w:sz w:val="24"/>
        </w:rPr>
        <w:t>BRIC opened on 10/16/2023.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620" w:val="left" w:leader="none"/>
        </w:tabs>
        <w:spacing w:line="240" w:lineRule="auto" w:before="1" w:after="0"/>
        <w:ind w:left="1620" w:right="169" w:hanging="360"/>
        <w:jc w:val="left"/>
        <w:rPr>
          <w:sz w:val="24"/>
        </w:rPr>
      </w:pPr>
      <w:r>
        <w:rPr>
          <w:sz w:val="24"/>
        </w:rPr>
        <w:t>Registering and applying for an award under FEMA GO portal is a multi-step process and requires time to complete. Sub-applicants should read the registration instructions carefully and prepare the information requested before beginning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6"/>
          <w:sz w:val="24"/>
        </w:rPr>
        <w:t> </w:t>
      </w:r>
      <w:r>
        <w:rPr>
          <w:sz w:val="24"/>
        </w:rPr>
        <w:t>Opportunity (NOFO) FY 2023 Building</w:t>
      </w:r>
      <w:r>
        <w:rPr>
          <w:spacing w:val="-3"/>
          <w:sz w:val="24"/>
        </w:rPr>
        <w:t> </w:t>
      </w:r>
      <w:r>
        <w:rPr>
          <w:sz w:val="24"/>
        </w:rPr>
        <w:t>Resilient Infrastructure and Communities. </w:t>
      </w:r>
      <w:hyperlink r:id="rId13">
        <w:r>
          <w:rPr>
            <w:color w:val="0000FF"/>
            <w:sz w:val="24"/>
            <w:u w:val="single" w:color="0000FF"/>
          </w:rPr>
          <w:t>FY 2023 BRIC</w:t>
        </w:r>
      </w:hyperlink>
      <w:r>
        <w:rPr>
          <w:color w:val="0000FF"/>
          <w:sz w:val="24"/>
        </w:rPr>
        <w:t> </w:t>
      </w:r>
      <w:hyperlink r:id="rId13">
        <w:r>
          <w:rPr>
            <w:color w:val="0000FF"/>
            <w:spacing w:val="-4"/>
            <w:sz w:val="24"/>
            <w:u w:val="single" w:color="0000FF"/>
          </w:rPr>
          <w:t>NOFO</w:t>
        </w:r>
      </w:hyperlink>
    </w:p>
    <w:p>
      <w:pPr>
        <w:pStyle w:val="ListParagraph"/>
        <w:numPr>
          <w:ilvl w:val="1"/>
          <w:numId w:val="2"/>
        </w:numPr>
        <w:tabs>
          <w:tab w:pos="1620" w:val="left" w:leader="none"/>
        </w:tabs>
        <w:spacing w:line="240" w:lineRule="auto" w:before="0" w:after="0"/>
        <w:ind w:left="1620" w:right="261" w:hanging="360"/>
        <w:jc w:val="left"/>
        <w:rPr>
          <w:sz w:val="24"/>
        </w:rPr>
      </w:pPr>
      <w:r>
        <w:rPr>
          <w:sz w:val="24"/>
        </w:rPr>
        <w:t>NOTE:</w:t>
      </w:r>
      <w:r>
        <w:rPr>
          <w:spacing w:val="-3"/>
          <w:sz w:val="24"/>
        </w:rPr>
        <w:t> </w:t>
      </w:r>
      <w:r>
        <w:rPr>
          <w:sz w:val="24"/>
        </w:rPr>
        <w:t>Reviewing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assembling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beginning</w:t>
      </w:r>
      <w:r>
        <w:rPr>
          <w:spacing w:val="-4"/>
          <w:sz w:val="24"/>
        </w:rPr>
        <w:t> </w:t>
      </w:r>
      <w:r>
        <w:rPr>
          <w:sz w:val="24"/>
        </w:rPr>
        <w:t>the registration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alleviate</w:t>
      </w:r>
      <w:r>
        <w:rPr>
          <w:spacing w:val="-1"/>
          <w:sz w:val="24"/>
        </w:rPr>
        <w:t> </w:t>
      </w:r>
      <w:r>
        <w:rPr>
          <w:sz w:val="24"/>
        </w:rPr>
        <w:t>last-minute</w:t>
      </w:r>
      <w:r>
        <w:rPr>
          <w:spacing w:val="-1"/>
          <w:sz w:val="24"/>
        </w:rPr>
        <w:t> </w:t>
      </w:r>
      <w:r>
        <w:rPr>
          <w:sz w:val="24"/>
        </w:rPr>
        <w:t>searches for required</w:t>
      </w:r>
      <w:r>
        <w:rPr>
          <w:spacing w:val="-1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1"/>
          <w:numId w:val="2"/>
        </w:numPr>
        <w:tabs>
          <w:tab w:pos="1620" w:val="left" w:leader="none"/>
        </w:tabs>
        <w:spacing w:line="240" w:lineRule="auto" w:before="0" w:after="0"/>
        <w:ind w:left="1620" w:right="20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registration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4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4"/>
          <w:sz w:val="24"/>
        </w:rPr>
        <w:t> </w:t>
      </w:r>
      <w:r>
        <w:rPr>
          <w:sz w:val="24"/>
        </w:rPr>
        <w:t>weeks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complete.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project application meets the deadline, sub-applicants are advised to start the required steps well in advance of their submission.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8" w:val="left" w:leader="none"/>
          <w:tab w:pos="900" w:val="left" w:leader="none"/>
        </w:tabs>
        <w:spacing w:line="240" w:lineRule="auto" w:before="0" w:after="0"/>
        <w:ind w:left="900" w:right="294" w:hanging="360"/>
        <w:jc w:val="left"/>
        <w:rPr>
          <w:sz w:val="24"/>
        </w:rPr>
      </w:pPr>
      <w:r>
        <w:rPr>
          <w:sz w:val="24"/>
        </w:rPr>
        <w:t>Sub-applications will be reviewed and required to meet Project Eligibility, Application Completeness, Benefit Cost Analysis (BCA), Engineering Feasibility, Mitigation Plan Status,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Environmental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Historic</w:t>
      </w:r>
      <w:r>
        <w:rPr>
          <w:spacing w:val="-6"/>
          <w:sz w:val="24"/>
        </w:rPr>
        <w:t> </w:t>
      </w:r>
      <w:r>
        <w:rPr>
          <w:sz w:val="24"/>
        </w:rPr>
        <w:t>Preservation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eligibility.</w:t>
      </w:r>
      <w:r>
        <w:rPr>
          <w:spacing w:val="-7"/>
          <w:sz w:val="24"/>
        </w:rPr>
        <w:t> </w:t>
      </w:r>
      <w:r>
        <w:rPr>
          <w:sz w:val="24"/>
        </w:rPr>
        <w:t>Sub-applications are to be completed in FEMA GO by </w:t>
      </w:r>
      <w:r>
        <w:rPr>
          <w:color w:val="FF0000"/>
          <w:sz w:val="24"/>
        </w:rPr>
        <w:t>2/1/2024</w:t>
      </w:r>
      <w:r>
        <w:rPr>
          <w:sz w:val="24"/>
        </w:rPr>
        <w:t>, to allow time for any requests for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499" w:top="1400" w:bottom="1680" w:left="1260" w:right="1280"/>
        </w:sectPr>
      </w:pPr>
    </w:p>
    <w:p>
      <w:pPr>
        <w:pStyle w:val="BodyText"/>
        <w:spacing w:before="39"/>
        <w:ind w:left="900"/>
      </w:pPr>
      <w:r>
        <w:rPr/>
        <w:t>information to be completed. Sub-applications that are incomplete in FEMA GO by </w:t>
      </w:r>
      <w:r>
        <w:rPr>
          <w:color w:val="FF0000"/>
        </w:rPr>
        <w:t>2/05/2024</w:t>
      </w:r>
      <w:r>
        <w:rPr>
          <w:color w:val="FF0000"/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funding</w:t>
      </w:r>
      <w:r>
        <w:rPr>
          <w:spacing w:val="-2"/>
        </w:rPr>
        <w:t> </w:t>
      </w:r>
      <w:r>
        <w:rPr/>
        <w:t>consideration.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Key</w:t>
      </w:r>
      <w:r>
        <w:rPr>
          <w:spacing w:val="-2"/>
          <w:u w:val="single"/>
        </w:rPr>
        <w:t> </w:t>
      </w:r>
      <w:r>
        <w:rPr>
          <w:u w:val="single"/>
        </w:rPr>
        <w:t>Dates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FEMA</w:t>
      </w:r>
      <w:r>
        <w:rPr>
          <w:spacing w:val="-1"/>
          <w:u w:val="single"/>
        </w:rPr>
        <w:t> </w:t>
      </w:r>
      <w:r>
        <w:rPr>
          <w:u w:val="single"/>
        </w:rPr>
        <w:t>GO</w:t>
      </w:r>
      <w:r>
        <w:rPr>
          <w:spacing w:val="-3"/>
          <w:u w:val="single"/>
        </w:rPr>
        <w:t> </w:t>
      </w:r>
      <w:r>
        <w:rPr>
          <w:u w:val="single"/>
        </w:rPr>
        <w:t>Application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Process</w:t>
      </w:r>
    </w:p>
    <w:tbl>
      <w:tblPr>
        <w:tblW w:w="0" w:type="auto"/>
        <w:jc w:val="left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267"/>
        <w:gridCol w:w="4299"/>
      </w:tblGrid>
      <w:tr>
        <w:trPr>
          <w:trHeight w:val="301" w:hRule="atLeast"/>
        </w:trPr>
        <w:tc>
          <w:tcPr>
            <w:tcW w:w="4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Event</w:t>
            </w: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11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Suggested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Deadline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for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Completion</w:t>
            </w:r>
          </w:p>
        </w:tc>
      </w:tr>
      <w:tr>
        <w:trPr>
          <w:trHeight w:val="299" w:hRule="atLeast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Obtain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opens</w:t>
            </w:r>
          </w:p>
        </w:tc>
      </w:tr>
      <w:tr>
        <w:trPr>
          <w:trHeight w:val="299" w:hRule="atLeast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EIN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opens</w:t>
            </w:r>
          </w:p>
        </w:tc>
      </w:tr>
      <w:tr>
        <w:trPr>
          <w:trHeight w:val="299" w:hRule="atLeast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login.gov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opens</w:t>
            </w:r>
          </w:p>
        </w:tc>
      </w:tr>
      <w:tr>
        <w:trPr>
          <w:trHeight w:val="299" w:hRule="atLeast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Register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updating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opens</w:t>
            </w:r>
          </w:p>
        </w:tc>
      </w:tr>
      <w:tr>
        <w:trPr>
          <w:trHeight w:val="301" w:hRule="atLeast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Register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FEMA</w:t>
            </w:r>
            <w:r>
              <w:rPr>
                <w:spacing w:val="-5"/>
                <w:sz w:val="22"/>
              </w:rPr>
              <w:t> GO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11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opens</w:t>
            </w:r>
          </w:p>
        </w:tc>
      </w:tr>
      <w:tr>
        <w:trPr>
          <w:trHeight w:val="313" w:hRule="atLeast"/>
        </w:trPr>
        <w:tc>
          <w:tcPr>
            <w:tcW w:w="4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Submit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GO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111"/>
              <w:rPr>
                <w:sz w:val="22"/>
              </w:rPr>
            </w:pPr>
            <w:r>
              <w:rPr>
                <w:sz w:val="22"/>
              </w:rPr>
              <w:t>RIEMA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Deadline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2/1/2024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18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Links:</w:t>
      </w:r>
    </w:p>
    <w:p>
      <w:pPr>
        <w:pStyle w:val="BodyText"/>
        <w:spacing w:before="2"/>
        <w:ind w:left="180"/>
      </w:pPr>
      <w:r>
        <w:rPr/>
        <w:t>Rhode</w:t>
      </w:r>
      <w:r>
        <w:rPr>
          <w:spacing w:val="-5"/>
        </w:rPr>
        <w:t> </w:t>
      </w:r>
      <w:r>
        <w:rPr/>
        <w:t>Island</w:t>
      </w:r>
      <w:r>
        <w:rPr>
          <w:spacing w:val="-5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Agency</w:t>
      </w:r>
      <w:r>
        <w:rPr>
          <w:spacing w:val="-5"/>
        </w:rPr>
        <w:t> </w:t>
      </w:r>
      <w:r>
        <w:rPr/>
        <w:t>(RIEMA)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Hazard</w:t>
      </w:r>
      <w:r>
        <w:rPr>
          <w:spacing w:val="-5"/>
        </w:rPr>
        <w:t> </w:t>
      </w:r>
      <w:r>
        <w:rPr/>
        <w:t>Mitigation</w:t>
      </w:r>
      <w:r>
        <w:rPr>
          <w:spacing w:val="-3"/>
        </w:rPr>
        <w:t> </w:t>
      </w:r>
      <w:r>
        <w:rPr/>
        <w:t>Section </w:t>
      </w:r>
      <w:hyperlink r:id="rId14">
        <w:r>
          <w:rPr>
            <w:color w:val="0000FF"/>
            <w:spacing w:val="-2"/>
            <w:u w:val="single" w:color="0000FF"/>
          </w:rPr>
          <w:t>http://www.riema.ri.gov//planning/hazardmitigation/index.php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left="179"/>
      </w:pPr>
      <w:r>
        <w:rPr/>
        <w:t>Rhode</w:t>
      </w:r>
      <w:r>
        <w:rPr>
          <w:spacing w:val="-5"/>
        </w:rPr>
        <w:t> </w:t>
      </w:r>
      <w:r>
        <w:rPr/>
        <w:t>Island</w:t>
      </w:r>
      <w:r>
        <w:rPr>
          <w:spacing w:val="-5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Agency</w:t>
      </w:r>
      <w:r>
        <w:rPr>
          <w:spacing w:val="-5"/>
        </w:rPr>
        <w:t> </w:t>
      </w:r>
      <w:r>
        <w:rPr/>
        <w:t>(RIEMA)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Hazard</w:t>
      </w:r>
      <w:r>
        <w:rPr>
          <w:spacing w:val="-5"/>
        </w:rPr>
        <w:t> </w:t>
      </w:r>
      <w:r>
        <w:rPr/>
        <w:t>Mitigation</w:t>
      </w:r>
      <w:r>
        <w:rPr>
          <w:spacing w:val="-3"/>
        </w:rPr>
        <w:t> </w:t>
      </w:r>
      <w:r>
        <w:rPr/>
        <w:t>Section </w:t>
      </w:r>
      <w:hyperlink r:id="rId15">
        <w:r>
          <w:rPr>
            <w:color w:val="0000FF"/>
            <w:spacing w:val="-2"/>
            <w:u w:val="single" w:color="0000FF"/>
          </w:rPr>
          <w:t>http://www.riema.ri.gov//grants/index.php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1"/>
        <w:ind w:left="180" w:right="980"/>
      </w:pPr>
      <w:r>
        <w:rPr/>
        <w:t>FEMA Building Resilient Infrastructure and Communities </w:t>
      </w:r>
      <w:hyperlink r:id="rId16">
        <w:r>
          <w:rPr>
            <w:color w:val="0000FF"/>
            <w:spacing w:val="-2"/>
            <w:u w:val="single" w:color="0000FF"/>
          </w:rPr>
          <w:t>https://www.fema.gov/grants/mitigation/building-resilient-infrastructure-communities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left="180" w:right="230"/>
      </w:pPr>
      <w:r>
        <w:rPr/>
        <w:t>FEMA</w:t>
      </w:r>
      <w:r>
        <w:rPr>
          <w:spacing w:val="-4"/>
        </w:rPr>
        <w:t> </w:t>
      </w:r>
      <w:r>
        <w:rPr/>
        <w:t>Grants</w:t>
      </w:r>
      <w:r>
        <w:rPr>
          <w:spacing w:val="-7"/>
        </w:rPr>
        <w:t> </w:t>
      </w:r>
      <w:r>
        <w:rPr/>
        <w:t>Outcome</w:t>
      </w:r>
      <w:r>
        <w:rPr>
          <w:spacing w:val="-4"/>
        </w:rPr>
        <w:t> </w:t>
      </w:r>
      <w:r>
        <w:rPr/>
        <w:t>(FEMA</w:t>
      </w:r>
      <w:r>
        <w:rPr>
          <w:spacing w:val="-4"/>
        </w:rPr>
        <w:t> </w:t>
      </w:r>
      <w:r>
        <w:rPr/>
        <w:t>GO)</w:t>
      </w:r>
      <w:r>
        <w:rPr>
          <w:spacing w:val="-5"/>
        </w:rPr>
        <w:t> </w:t>
      </w:r>
      <w:hyperlink r:id="rId12">
        <w:r>
          <w:rPr>
            <w:color w:val="0000FF"/>
            <w:u w:val="single" w:color="0000FF"/>
          </w:rPr>
          <w:t>https://go.fema.gov/</w:t>
        </w:r>
      </w:hyperlink>
      <w:r>
        <w:rPr>
          <w:color w:val="0000FF"/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step-by-step</w:t>
      </w:r>
      <w:r>
        <w:rPr>
          <w:spacing w:val="-3"/>
        </w:rPr>
        <w:t> </w:t>
      </w:r>
      <w:r>
        <w:rPr/>
        <w:t>instructional desktop guides can be found by visiting </w:t>
      </w:r>
      <w:hyperlink r:id="rId17">
        <w:r>
          <w:rPr>
            <w:color w:val="0000FF"/>
            <w:u w:val="single" w:color="0000FF"/>
          </w:rPr>
          <w:t>User Manual (fema.gov)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51"/>
        <w:rPr>
          <w:u w:val="none"/>
        </w:rPr>
      </w:pPr>
      <w:r>
        <w:rPr>
          <w:u w:val="single"/>
        </w:rPr>
        <w:t>Contact</w:t>
      </w:r>
      <w:r>
        <w:rPr>
          <w:spacing w:val="-2"/>
          <w:u w:val="single"/>
        </w:rPr>
        <w:t> Information:</w:t>
      </w:r>
    </w:p>
    <w:p>
      <w:pPr>
        <w:pStyle w:val="BodyText"/>
        <w:ind w:left="180"/>
      </w:pPr>
      <w:r>
        <w:rPr/>
        <w:t>Rae-Anne</w:t>
      </w:r>
      <w:r>
        <w:rPr>
          <w:spacing w:val="-3"/>
        </w:rPr>
        <w:t> </w:t>
      </w:r>
      <w:r>
        <w:rPr>
          <w:spacing w:val="-4"/>
        </w:rPr>
        <w:t>Culp</w:t>
      </w:r>
    </w:p>
    <w:p>
      <w:pPr>
        <w:pStyle w:val="BodyText"/>
        <w:spacing w:before="2"/>
        <w:ind w:left="180" w:right="6487"/>
      </w:pPr>
      <w:r>
        <w:rPr/>
        <w:t>State</w:t>
      </w:r>
      <w:r>
        <w:rPr>
          <w:spacing w:val="-13"/>
        </w:rPr>
        <w:t> </w:t>
      </w:r>
      <w:r>
        <w:rPr/>
        <w:t>Hazard</w:t>
      </w:r>
      <w:r>
        <w:rPr>
          <w:spacing w:val="-13"/>
        </w:rPr>
        <w:t> </w:t>
      </w:r>
      <w:r>
        <w:rPr/>
        <w:t>Mitigation</w:t>
      </w:r>
      <w:r>
        <w:rPr>
          <w:spacing w:val="-13"/>
        </w:rPr>
        <w:t> </w:t>
      </w:r>
      <w:r>
        <w:rPr/>
        <w:t>Officer </w:t>
      </w:r>
      <w:r>
        <w:rPr>
          <w:spacing w:val="-2"/>
        </w:rPr>
        <w:t>401-536-5248</w:t>
      </w:r>
    </w:p>
    <w:p>
      <w:pPr>
        <w:pStyle w:val="BodyText"/>
        <w:spacing w:line="293" w:lineRule="exact"/>
        <w:ind w:left="180"/>
      </w:pPr>
      <w:hyperlink r:id="rId11">
        <w:r>
          <w:rPr>
            <w:color w:val="0000FF"/>
            <w:spacing w:val="-2"/>
            <w:u w:val="single" w:color="0000FF"/>
          </w:rPr>
          <w:t>raeanne.culp@ema.ri.gov</w:t>
        </w:r>
      </w:hyperlink>
    </w:p>
    <w:sectPr>
      <w:pgSz w:w="12240" w:h="15840"/>
      <w:pgMar w:header="0" w:footer="1499" w:top="1400" w:bottom="1680" w:left="12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647700</wp:posOffset>
              </wp:positionH>
              <wp:positionV relativeFrom="page">
                <wp:posOffset>8979586</wp:posOffset>
              </wp:positionV>
              <wp:extent cx="6228715" cy="5029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228715" cy="502920"/>
                        <a:chExt cx="6228715" cy="5029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48411" y="77546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619125" y="76193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 h="0">
                              <a:moveTo>
                                <a:pt x="0" y="0"/>
                              </a:moveTo>
                              <a:lnTo>
                                <a:pt x="549592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A98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12" cy="5029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1pt;margin-top:707.054016pt;width:490.45pt;height:39.6pt;mso-position-horizontal-relative:page;mso-position-vertical-relative:page;z-index:-15844864" id="docshapegroup5" coordorigin="1020,14141" coordsize="9809,792">
              <v:rect style="position:absolute;left:1411;top:14263;width:9418;height:10" id="docshape6" filled="true" fillcolor="#d9d9d9" stroked="false">
                <v:fill type="solid"/>
              </v:rect>
              <v:line style="position:absolute" from="1995,14261" to="10650,14261" stroked="true" strokeweight="2.25pt" strokecolor="#a98b3b">
                <v:stroke dashstyle="solid"/>
              </v:line>
              <v:shape style="position:absolute;left:1020;top:14141;width:795;height:792" type="#_x0000_t75" id="docshape7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6190488</wp:posOffset>
              </wp:positionH>
              <wp:positionV relativeFrom="page">
                <wp:posOffset>9068646</wp:posOffset>
              </wp:positionV>
              <wp:extent cx="643255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432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08080"/>
                            </w:rPr>
                            <w:t>P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9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440002pt;margin-top:714.06665pt;width:50.65pt;height:15.3pt;mso-position-horizontal-relative:page;mso-position-vertical-relative:page;z-index:-1584435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</w:rPr>
                      <w:t>2</w:t>
                    </w:r>
                    <w:r>
                      <w:rPr>
                        <w:rFonts w:asci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> </w:t>
                    </w:r>
                    <w:r>
                      <w:rPr>
                        <w:rFonts w:ascii="Times New Roman"/>
                      </w:rPr>
                      <w:t>|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808080"/>
                      </w:rPr>
                      <w:t>P </w:t>
                    </w:r>
                    <w:r>
                      <w:rPr>
                        <w:rFonts w:ascii="Times New Roman"/>
                        <w:color w:val="808080"/>
                        <w:spacing w:val="29"/>
                      </w:rPr>
                      <w:t>ag</w:t>
                    </w:r>
                    <w:r>
                      <w:rPr>
                        <w:rFonts w:ascii="Times New Roman"/>
                        <w:color w:val="808080"/>
                        <w:spacing w:val="1"/>
                      </w:rPr>
                      <w:t> </w:t>
                    </w:r>
                    <w:r>
                      <w:rPr>
                        <w:rFonts w:ascii="Times New Roman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1349755</wp:posOffset>
              </wp:positionH>
              <wp:positionV relativeFrom="page">
                <wp:posOffset>9094694</wp:posOffset>
              </wp:positionV>
              <wp:extent cx="3028950" cy="2044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289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15315B"/>
                            </w:rPr>
                            <w:t>Rhode</w:t>
                          </w:r>
                          <w:r>
                            <w:rPr>
                              <w:rFonts w:ascii="Cambria"/>
                              <w:color w:val="15315B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5315B"/>
                            </w:rPr>
                            <w:t>Island</w:t>
                          </w:r>
                          <w:r>
                            <w:rPr>
                              <w:rFonts w:ascii="Cambria"/>
                              <w:color w:val="15315B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5315B"/>
                            </w:rPr>
                            <w:t>Emergency</w:t>
                          </w:r>
                          <w:r>
                            <w:rPr>
                              <w:rFonts w:ascii="Cambria"/>
                              <w:color w:val="15315B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5315B"/>
                            </w:rPr>
                            <w:t>Management</w:t>
                          </w:r>
                          <w:r>
                            <w:rPr>
                              <w:rFonts w:ascii="Cambria"/>
                              <w:color w:val="15315B"/>
                              <w:spacing w:val="-2"/>
                            </w:rPr>
                            <w:t> Agency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279999pt;margin-top:716.117676pt;width:238.5pt;height:16.1pt;mso-position-horizontal-relative:page;mso-position-vertical-relative:page;z-index:-1584384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5315B"/>
                      </w:rPr>
                      <w:t>Rhode</w:t>
                    </w:r>
                    <w:r>
                      <w:rPr>
                        <w:rFonts w:ascii="Cambria"/>
                        <w:color w:val="15315B"/>
                        <w:spacing w:val="-3"/>
                      </w:rPr>
                      <w:t> </w:t>
                    </w:r>
                    <w:r>
                      <w:rPr>
                        <w:rFonts w:ascii="Cambria"/>
                        <w:color w:val="15315B"/>
                      </w:rPr>
                      <w:t>Island</w:t>
                    </w:r>
                    <w:r>
                      <w:rPr>
                        <w:rFonts w:ascii="Cambria"/>
                        <w:color w:val="15315B"/>
                        <w:spacing w:val="-2"/>
                      </w:rPr>
                      <w:t> </w:t>
                    </w:r>
                    <w:r>
                      <w:rPr>
                        <w:rFonts w:ascii="Cambria"/>
                        <w:color w:val="15315B"/>
                      </w:rPr>
                      <w:t>Emergency</w:t>
                    </w:r>
                    <w:r>
                      <w:rPr>
                        <w:rFonts w:ascii="Cambria"/>
                        <w:color w:val="15315B"/>
                        <w:spacing w:val="-4"/>
                      </w:rPr>
                      <w:t> </w:t>
                    </w:r>
                    <w:r>
                      <w:rPr>
                        <w:rFonts w:ascii="Cambria"/>
                        <w:color w:val="15315B"/>
                      </w:rPr>
                      <w:t>Management</w:t>
                    </w:r>
                    <w:r>
                      <w:rPr>
                        <w:rFonts w:ascii="Cambria"/>
                        <w:color w:val="15315B"/>
                        <w:spacing w:val="-2"/>
                      </w:rPr>
                      <w:t> Agency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0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 w:line="249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fema.gov/grants/mitigation/notice-funding-opportunities/fy2023-nofo" TargetMode="External"/><Relationship Id="rId8" Type="http://schemas.openxmlformats.org/officeDocument/2006/relationships/image" Target="media/image3.jpeg"/><Relationship Id="rId9" Type="http://schemas.openxmlformats.org/officeDocument/2006/relationships/footer" Target="footer1.xml"/><Relationship Id="rId10" Type="http://schemas.openxmlformats.org/officeDocument/2006/relationships/image" Target="media/image5.jpeg"/><Relationship Id="rId11" Type="http://schemas.openxmlformats.org/officeDocument/2006/relationships/hyperlink" Target="mailto:raeanne.culp@ema.ri.gov" TargetMode="External"/><Relationship Id="rId12" Type="http://schemas.openxmlformats.org/officeDocument/2006/relationships/hyperlink" Target="https://go.fema.gov/" TargetMode="External"/><Relationship Id="rId13" Type="http://schemas.openxmlformats.org/officeDocument/2006/relationships/hyperlink" Target="https://www.fema.gov/grants/mitigation/fy2023-nofo" TargetMode="External"/><Relationship Id="rId14" Type="http://schemas.openxmlformats.org/officeDocument/2006/relationships/hyperlink" Target="http://www.riema.ri.gov/planning/hazardmitigation/index.php" TargetMode="External"/><Relationship Id="rId15" Type="http://schemas.openxmlformats.org/officeDocument/2006/relationships/hyperlink" Target="http://www.riema.ri.gov/grants/index.php" TargetMode="External"/><Relationship Id="rId16" Type="http://schemas.openxmlformats.org/officeDocument/2006/relationships/hyperlink" Target="https://www.fema.gov/grants/mitigation/building-resilient-infrastructure-communities" TargetMode="External"/><Relationship Id="rId17" Type="http://schemas.openxmlformats.org/officeDocument/2006/relationships/hyperlink" Target="https://www.fema.gov/sites/default/files/2020-11/fema-go_application-development-user-manual_november-2020.pdf" TargetMode="Externa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Ambrosius, Alexander (EMA)</dc:creator>
  <dcterms:created xsi:type="dcterms:W3CDTF">2023-12-06T17:23:46Z</dcterms:created>
  <dcterms:modified xsi:type="dcterms:W3CDTF">2023-12-06T17:23:46Z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D:20231030154946</vt:lpwstr>
  </property>
</Properties>
</file>